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9"/>
          <w:szCs w:val="29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9"/>
          <w:szCs w:val="29"/>
        </w:rPr>
        <w:t>丰台区2020年初三统一练习（二）</w:t>
      </w:r>
    </w:p>
    <w:p>
      <w:pPr>
        <w:keepNext w:val="0"/>
        <w:keepLines w:val="0"/>
        <w:pageBreakBefore w:val="0"/>
        <w:widowControl w:val="0"/>
        <w:tabs>
          <w:tab w:val="left" w:pos="880"/>
          <w:tab w:val="left" w:pos="2584"/>
          <w:tab w:val="left" w:pos="37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41"/>
          <w:szCs w:val="41"/>
        </w:rPr>
        <w:t>地</w: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41"/>
          <w:szCs w:val="41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41"/>
          <w:szCs w:val="41"/>
        </w:rPr>
        <w:t>理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righ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13"/>
          <w:szCs w:val="13"/>
        </w:rPr>
      </w:pPr>
      <w:r>
        <w:rPr>
          <w:snapToGrid w:val="0"/>
          <w:spacing w:val="0"/>
          <w:w w:val="100"/>
          <w:position w:val="0"/>
        </w:rPr>
        <w:t>20</w:t>
      </w:r>
      <w:r>
        <w:rPr>
          <w:rFonts w:hint="eastAsia"/>
          <w:snapToGrid w:val="0"/>
          <w:spacing w:val="0"/>
          <w:w w:val="100"/>
          <w:position w:val="0"/>
          <w:lang w:eastAsia="zh-CN"/>
        </w:rPr>
        <w:t>20.</w:t>
      </w:r>
      <w:r>
        <w:rPr>
          <w:snapToGrid w:val="0"/>
          <w:spacing w:val="0"/>
          <w:w w:val="100"/>
          <w:position w:val="0"/>
        </w:rPr>
        <w:t>06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leftChars="0" w:right="0" w:firstLine="0" w:firstLineChars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snapToGrid w:val="0"/>
          <w:spacing w:val="0"/>
          <w:w w:val="100"/>
          <w:position w:val="0"/>
        </w:rPr>
        <w:t>第一部分</w:t>
      </w:r>
      <w:r>
        <w:rPr>
          <w:snapToGrid w:val="0"/>
          <w:spacing w:val="0"/>
          <w:w w:val="100"/>
          <w:position w:val="0"/>
        </w:rPr>
        <w:tab/>
      </w:r>
      <w:r>
        <w:rPr>
          <w:snapToGrid w:val="0"/>
          <w:spacing w:val="0"/>
          <w:w w:val="100"/>
          <w:position w:val="0"/>
        </w:rPr>
        <w:t>选择题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（</w:t>
      </w:r>
      <w:r>
        <w:rPr>
          <w:snapToGrid w:val="0"/>
          <w:spacing w:val="0"/>
          <w:w w:val="100"/>
          <w:position w:val="0"/>
        </w:rPr>
        <w:t>共40分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17"/>
        <w:jc w:val="left"/>
        <w:textAlignment w:val="auto"/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t>本部分共</w:t>
      </w:r>
      <w:r>
        <w:rPr>
          <w:b/>
          <w:bCs/>
          <w:snapToGrid w:val="0"/>
          <w:spacing w:val="0"/>
          <w:w w:val="100"/>
          <w:position w:val="0"/>
        </w:rPr>
        <w:t>40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t>小题，每小题</w:t>
      </w:r>
      <w:r>
        <w:rPr>
          <w:b/>
          <w:bCs/>
          <w:snapToGrid w:val="0"/>
          <w:spacing w:val="0"/>
          <w:w w:val="100"/>
          <w:position w:val="0"/>
        </w:rPr>
        <w:t>1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t>分，共</w:t>
      </w:r>
      <w:r>
        <w:rPr>
          <w:b/>
          <w:bCs/>
          <w:snapToGrid w:val="0"/>
          <w:spacing w:val="0"/>
          <w:w w:val="100"/>
          <w:position w:val="0"/>
        </w:rPr>
        <w:t>40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t>分。在每小题列出的四个选项中，选出最符合题目要求的一项。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图1为北斗卫星拍摄的地球照片。读图完成第1、2题。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rightChars="0" w:hanging="264"/>
        <w:jc w:val="center"/>
        <w:textAlignment w:val="auto"/>
        <w:rPr>
          <w:snapToGrid w:val="0"/>
          <w:spacing w:val="0"/>
          <w:w w:val="100"/>
          <w:position w:val="0"/>
        </w:rPr>
      </w:pPr>
      <w:r>
        <w:rPr>
          <w:snapToGrid w:val="0"/>
          <w:spacing w:val="0"/>
          <w:w w:val="100"/>
          <w:position w:val="0"/>
        </w:rPr>
        <w:drawing>
          <wp:inline distT="0" distB="0" distL="114300" distR="114300">
            <wp:extent cx="1224915" cy="1254125"/>
            <wp:effectExtent l="0" t="0" r="133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1.地球卫星照片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A.首次证实地球是一个球体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B.显示地球是一个不透明的椭球体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C.是地球形状最直观、确凿的证据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D.是人类认识地球形状的最初阶段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2.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能够描述地球大小的是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A.地球赤道周长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B.地表海洋深度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C.地表海陆比例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D.陆地平均海拔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暑伏又称“三伏”，分为初伏（头伏）、中伏（二伏）和未伏。暑伏时气温最高且多雨，给人以潮湿闷热之惑。图2为二十四节气示意图，图3为我国部分地区三伏习俗及2020年暑伏日期。读图完成第3～6题。</w:t>
      </w:r>
    </w:p>
    <w:tbl>
      <w:tblPr>
        <w:tblStyle w:val="4"/>
        <w:tblpPr w:leftFromText="180" w:rightFromText="180" w:vertAnchor="text" w:horzAnchor="page" w:tblpX="6434" w:tblpY="1422"/>
        <w:tblOverlap w:val="never"/>
        <w:tblW w:w="0" w:type="auto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7"/>
        <w:gridCol w:w="199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exact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/>
              <w:jc w:val="center"/>
              <w:textAlignment w:val="auto"/>
            </w:pPr>
            <w:r>
              <w:t>初伏</w:t>
            </w:r>
          </w:p>
        </w:tc>
        <w:tc>
          <w:tcPr>
            <w:tcW w:w="1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/>
              <w:jc w:val="center"/>
              <w:textAlignment w:val="auto"/>
            </w:pPr>
            <w:r>
              <w:t>7月16日—7月25日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exact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/>
              <w:jc w:val="center"/>
              <w:textAlignment w:val="auto"/>
            </w:pPr>
            <w:r>
              <w:t>中伏</w:t>
            </w:r>
          </w:p>
        </w:tc>
        <w:tc>
          <w:tcPr>
            <w:tcW w:w="1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/>
              <w:jc w:val="center"/>
              <w:textAlignment w:val="auto"/>
            </w:pPr>
            <w:r>
              <w:t>7月26日—8月14日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exact"/>
        </w:trPr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/>
              <w:jc w:val="center"/>
              <w:textAlignment w:val="auto"/>
            </w:pPr>
            <w:r>
              <w:t>末伏</w:t>
            </w:r>
          </w:p>
        </w:tc>
        <w:tc>
          <w:tcPr>
            <w:tcW w:w="1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3"/>
              <w:keepNext w:val="0"/>
              <w:keepLines w:val="0"/>
              <w:pageBreakBefore w:val="0"/>
              <w:widowControl w:val="0"/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/>
              <w:jc w:val="center"/>
              <w:textAlignment w:val="auto"/>
            </w:pPr>
            <w:r>
              <w:t>8月15日—8月24日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80" w:leftChars="400" w:right="0" w:firstLine="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pict>
          <v:shape id="_x0000_s1044" o:spid="_x0000_s1044" o:spt="75" type="#_x0000_t75" style="position:absolute;left:0pt;margin-left:322.5pt;margin-top:6.7pt;height:59.3pt;width:131.6pt;mso-position-horizontal-relative:page;z-index:2048;mso-width-relative:page;mso-height-relative:page;" filled="f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pict>
          <v:group id="_x0000_s1149" o:spid="_x0000_s1149" o:spt="203" style="height:125.9pt;width:174.95pt;" coordsize="3499,2518">
            <o:lock v:ext="edit"/>
            <v:shape id="_x0000_s1150" o:spid="_x0000_s1150" o:spt="75" type="#_x0000_t75" style="position:absolute;left:0;top:0;height:2518;width:3499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group id="_x0000_s1151" o:spid="_x0000_s1151" o:spt="203" style="position:absolute;left:1919;top:560;height:140;width:180;" coordorigin="1919,560" coordsize="180,140">
              <o:lock v:ext="edit"/>
              <v:shape id="_x0000_s1152" o:spid="_x0000_s1152" style="position:absolute;left:1919;top:560;height:140;width:180;" fillcolor="#FFFFFF" filled="t" stroked="f" coordorigin="1919,560" coordsize="180,140" path="m1919,700l2098,700,2098,560,1919,560,1919,70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53" o:spid="_x0000_s1153" o:spt="203" style="position:absolute;left:1919;top:2304;height:140;width:180;" coordorigin="1919,2304" coordsize="180,140">
              <o:lock v:ext="edit"/>
              <v:shape id="_x0000_s1154" o:spid="_x0000_s1154" style="position:absolute;left:1919;top:2304;height:140;width:180;" fillcolor="#FFFFFF" filled="t" stroked="f" coordorigin="1919,2304" coordsize="180,140" path="m1919,2444l2098,2444,2098,2304,1919,2304,1919,244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55" o:spid="_x0000_s1155" o:spt="203" style="position:absolute;left:3319;top:1424;height:140;width:180;" coordorigin="3319,1424" coordsize="180,140">
              <o:lock v:ext="edit"/>
              <v:shape id="_x0000_s1156" o:spid="_x0000_s1156" style="position:absolute;left:3319;top:1424;height:140;width:180;" fillcolor="#FFFFFF" filled="t" stroked="f" coordorigin="3319,1424" coordsize="180,140" path="m3319,1564l3499,1564,3499,1424,3319,1424,3319,156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57" o:spid="_x0000_s1157" o:spt="203" style="position:absolute;left:15;top:1424;height:140;width:180;" coordorigin="15,1424" coordsize="180,140">
              <o:lock v:ext="edit"/>
              <v:shape id="_x0000_s1158" o:spid="_x0000_s1158" style="position:absolute;left:15;top:1424;height:140;width:180;" fillcolor="#FFFFFF" filled="t" stroked="f" coordorigin="15,1424" coordsize="180,140" path="m15,1564l194,1564,194,1424,15,1424,15,1564xe">
                <v:path arrowok="t"/>
                <v:fill on="t" focussize="0,0"/>
                <v:stroke on="f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3"/>
        <w:keepNext w:val="0"/>
        <w:keepLines w:val="0"/>
        <w:pageBreakBefore w:val="0"/>
        <w:widowControl w:val="0"/>
        <w:tabs>
          <w:tab w:val="left" w:pos="2420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snapToGrid w:val="0"/>
          <w:spacing w:val="0"/>
          <w:w w:val="100"/>
          <w:position w:val="0"/>
        </w:rPr>
      </w:pPr>
      <w:r>
        <w:rPr>
          <w:snapToGrid w:val="0"/>
          <w:spacing w:val="0"/>
          <w:w w:val="100"/>
          <w:position w:val="0"/>
        </w:rPr>
        <w:pict>
          <v:shape id="_x0000_s1055" o:spid="_x0000_s1055" o:spt="202" type="#_x0000_t202" style="position:absolute;left:0pt;margin-left:280.8pt;margin-top:-53.85pt;height:44pt;width:134.5pt;mso-position-horizontal-relative:page;z-index:2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/>
              </w:txbxContent>
            </v:textbox>
          </v:shape>
        </w:pic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</w:t>
      </w:r>
      <w:r>
        <w:rPr>
          <w:snapToGrid w:val="0"/>
          <w:spacing w:val="0"/>
          <w:w w:val="100"/>
          <w:position w:val="0"/>
        </w:rPr>
        <w:t>2</w:t>
      </w:r>
      <w:r>
        <w:rPr>
          <w:snapToGrid w:val="0"/>
          <w:spacing w:val="0"/>
          <w:w w:val="100"/>
          <w:position w:val="0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</w:t>
      </w:r>
      <w:r>
        <w:rPr>
          <w:snapToGrid w:val="0"/>
          <w:spacing w:val="0"/>
          <w:w w:val="100"/>
          <w:position w:val="0"/>
        </w:rPr>
        <w:t>3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3.2020年人伏时最接近的节气是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夏至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B.大暑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C.自露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D.秋分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4.末伏时，北京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A.昼短夜长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B.日出渐晚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C.桃花盛开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D.草木凋零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5.图3中的“三伏习俗”最有可能出现在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A.云贵高原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B.四川盆地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C.华北平原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D.珠江三角洲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6.受三伏天影响，当地网购量增加的商品最可能的是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980"/>
          <w:tab w:val="left" w:pos="3300"/>
          <w:tab w:val="left" w:pos="5060"/>
          <w:tab w:val="left" w:pos="6600"/>
          <w:tab w:val="left" w:pos="8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①加湿器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②电暖器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③电风扇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④防风镜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⑤空调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⑥凉席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A.①④⑥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C.①⑤⑥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D.③⑤⑥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某学校组织学生，前往北京市琉璃厂历史文化街区，进行综合实践考察。图4是学生手绘的考察图及拍摄的照片。读图完成第7、8题。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0"/>
          <w:szCs w:val="2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4715510" cy="215138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734" cy="215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图4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7.图中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A.从学校出发向南直行可到达荣宝斋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B.可量算学校到中国书店的实际距离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C.考察路线①和路线②都经过了甲地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D.所拍照片中的指示牌可能位于乙地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8.为保护北京市历史文化名城的建筑风貌，可采取的措施有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①在历史文化街区保护与更新时要尊重历史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②改善居住条件的同时，保留古都传统风貌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③让历史文化街区与周边地理环境相互协调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④所有历史建筑不得进行拆除、改建、扩建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D.①②④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北京市某校学生到延庆区上新庄水土保持科技园进行地理实践活动。图5为该区域等高线地形图。读图完成第9、10题。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center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drawing>
          <wp:inline distT="0" distB="0" distL="114300" distR="114300">
            <wp:extent cx="3475355" cy="2192020"/>
            <wp:effectExtent l="0" t="0" r="1079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center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图5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9.各观测区中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620"/>
          <w:tab w:val="left" w:pos="7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A.①位于水保站南部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B.②地形部位为鞍部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C.③的海拔高度最高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D.④至⑤的坡度最大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10.为调查影响水土保持的因素，同学们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可能监测的项目有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①地形坡度状况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②植被覆盖率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③土地利用状况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④候鸟的种类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C.①②④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D.①③④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某教育联盟暑期组织各地学生开展“穿越中国之旅”的地理研学活动。图6为中国四大地理分区及研学路线图。读图完成第11～15题。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1"/>
        <w:jc w:val="center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drawing>
          <wp:inline distT="0" distB="0" distL="0" distR="0">
            <wp:extent cx="3048000" cy="2263140"/>
            <wp:effectExtent l="0" t="0" r="0" b="381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3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1"/>
        <w:jc w:val="center"/>
        <w:textAlignment w:val="auto"/>
        <w:rPr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</w:t>
      </w:r>
      <w:r>
        <w:rPr>
          <w:snapToGrid w:val="0"/>
          <w:spacing w:val="0"/>
          <w:w w:val="100"/>
          <w:position w:val="0"/>
        </w:rPr>
        <w:t>6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1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11.图中我国四大地理区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域分界线甲、乙、丙的主导因素依次是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A.地形、气候、降水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B.气候、降水、地形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C.气候、地形、降水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ab/>
      </w:r>
      <w:r>
        <w:rPr>
          <w:snapToGrid w:val="0"/>
          <w:spacing w:val="0"/>
          <w:w w:val="100"/>
          <w:position w:val="0"/>
        </w:rPr>
        <w:t>D.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降水、地形、气候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12.同学们到沈阳参观自主研发的“机器人自我生产线”。机器人制造业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①属于传统重工业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②技术前景和应用前景很广阔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③可推动工业发展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④核心技术完全依赖发达国家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B.①④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D.③④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13.研学途中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A.从上海到沈阳可见花草树木逐渐凋落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B.从沈阳到朱日和依次可见荒漠和草原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C.从朱日和到吐鲁番沿途可见稻浪滚滚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D.从吐鲁番到拉萨需准备高原反应药品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14.研学中，同学们在拉萨可能遇到的节日有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drawing>
          <wp:inline distT="0" distB="0" distL="0" distR="0">
            <wp:extent cx="4974590" cy="819785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051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①泼水节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②那达慕大会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③雪顿节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④火把节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15.研学途中，同学们讨论了诗词中的地理，其中反映我国地势对河流影响的有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200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①一江春水向东流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②大江东去，浪淘尽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③千里江陵一日还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④春来江水绿如蓝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C.①②④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D.①③④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长江经济带自然条件优越，交通便利。该经济带坚持生态优先、绿色发展，在共抓大保护中实现高质量发展。预计到2020年，河湖、湿地生态功能基本恢复。长三角城市群高新技术产业发展迅速，对长江流域乃至全国都有辐射带动作用。图7为长江经济带示意图及部分发展目标（到2020年）统计图。结合图文材料，完成第16～19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3810635" cy="186817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794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图7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16.长江经济带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①沟通沿海经济发达地区和西部资源丰富地区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②中西部地区大力开采矿产资源，发展重工业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③自东向西依次连接重庆、武汉、南京、上海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④东部沿海技术水平高，辐射中西部地区发展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B.①④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D.③④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17.长江沿岸发展工业的有利条件是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640"/>
          <w:tab w:val="left" w:pos="3960"/>
          <w:tab w:val="left" w:pos="5060"/>
          <w:tab w:val="left" w:pos="74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①城市密集，市场广阔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②煤、石油等能源丰富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③江海联运，交通便利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④科技发达，人才集中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B.①②④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D.②③④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18.到2020年，长江经济带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640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A.森林覆盖率将超过50%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B.水质优良，均达到II类C.城镇化率全部高于75%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D.显地生态功能基本恢复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19.长江经济带坚持绿色发展、生态优先，就要重点保护好长江经济带的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A.信息产业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B.钢铁工业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C.山水田林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D.水利枢纽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小孙同学与朋友骑行去青海省，行前他查阅了青海省的相关资料。图8为青海省地图、西宁气温曲线和降水量柱状图及茶卡盐湖景观图。读图完成第20～23题。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4503420" cy="1729105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980" cy="172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38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74"/>
        <w:jc w:val="center"/>
        <w:textAlignment w:val="auto"/>
        <w:rPr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</w:t>
      </w:r>
      <w:r>
        <w:rPr>
          <w:snapToGrid w:val="0"/>
          <w:spacing w:val="0"/>
          <w:w w:val="100"/>
          <w:position w:val="0"/>
        </w:rPr>
        <w:t>8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20.青海省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A.地处西北地区，行政中心是西宁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B.位于中纬度，北部邻西藏自治区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C.位于地势第三级阶梯，海拔较高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D.柴达木盆地有石油、饵盐等矿产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21.三江源将建成我国第一个国家公园，建设的核心是：保护生态，共建共享、人与自然和谐共生的先行区。三江源地区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5060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A.是长江、黄河、珠江发源地，被誉为“中华水塔”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B.是世界上的高海拔生物多样性最集中的地区之一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5060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C.设立国家公园最主要目的是为了大力发展旅游业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D.显地广布、湖泊众多，具有发展农业的巨大潜力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22.湟水谷地是青海省主要种植业区，其发展的有利条件是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①光照充足，降水充沛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②海拔较低，气温较高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③水能丰富，水电站多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④靠近河流，灌溉便利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D.②④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23.“天空之境”一一一茶卡盐湖是生态游与工业游并举的景区。旺季时因游客进入盐湖内需穿着塑料鞋套，导致一天能清理出十多吨垃圾。为保护茶卡盐湖自然环境，应该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①景区限制每日游客流量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②游客租赁可再生环保鞋套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③永久关闭茶卡盐湖景区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④游客自觉提高环保意识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C.①②④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D.①③④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“在漫长的二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val="en-US" w:eastAsia="zh-CN"/>
        </w:rPr>
        <w:t>三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百万年间，这片广袤的土地已经被水流剥蚀的沟垄纵横、支离破碎、四分五裂，像老年人的一张粗桂的脸……”（摘自路遥《平凡的世界》）。图9为我国某区域略图、延安气温曲线和降水量柱状图。读图完成第24～27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3784600" cy="1391285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55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367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图9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24.小说《平凡的世界》中描述的某地区是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A.云贵高原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B.黄土高原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C.内蒙古高原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D.青藏高原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25.该地区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A.主要分布在晋、秦、宁、陇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B.一月平均气温高于0℃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C.位于第二级阶梯，秦岭以南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D.河流众多，短小而揣急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26.造成文中描述“这片广袤的土地已经被水流剥蚀的沟室纵横、支离破碎、四分五裂”的主要原因是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①土质疏松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②夏季多暴雨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③河流结冰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④植被稀少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D.①②④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27.小说主人公及当地很多居民多戴白羊肚头巾，可能与当地自然环境有关的是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620"/>
          <w:tab w:val="left" w:pos="68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A.冬季寒冷、风沙大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B.夏季多雨、气温低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C.地形类型复杂多样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D.河流多而且水量大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安徽省与江苏省、上海市、浙江省共同构成的长江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val="en-US" w:eastAsia="zh-CN"/>
        </w:rPr>
        <w:t>三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角洲城市群，已成为国际六大世界级城市群之一。图10为安徽省地形图。读图完成第28～30题。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center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1924050" cy="1845945"/>
            <wp:effectExtent l="0" t="0" r="0" b="1905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343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图10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28.安徽省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A.地跨北方地区和南方地区B.地形以山地和丘陵为主C.河流冬季均有结冰期D.巢湖属于内流区域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29.安徽省沿江地区承接了长江三角洲工业基地的加工制造业、农产品加工业等产业，其优势条件主要有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①邻近长江三角洲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②土地价格较便宜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③海陆空交通便利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④劳动力资源充足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D.①②④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30.黄山市野县的宏村古民居群是徽派建筑的典型代表。古村落背倚秀美青山，清流抱村穿户，被誉为“画中的村庄”。下面能反映徽派建筑的是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pict>
          <v:group id="_x0000_s1057" o:spid="_x0000_s1057" o:spt="203" style="height:64.1pt;width:331.2pt;" coordsize="6624,1282">
            <o:lock v:ext="edit"/>
            <v:shape id="_x0000_s1058" o:spid="_x0000_s1058" o:spt="75" type="#_x0000_t75" style="position:absolute;left:0;top:0;height:1104;width:6624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59" o:spid="_x0000_s1059" o:spt="202" type="#_x0000_t202" style="position:absolute;left:798;top:1075;height:206;width: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6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/>
                        <w:w w:val="205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060" o:spid="_x0000_s1060" o:spt="202" type="#_x0000_t202" style="position:absolute;left:2407;top:1075;height:206;width: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6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/>
                        <w:w w:val="205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061" o:spid="_x0000_s1061" o:spt="202" type="#_x0000_t202" style="position:absolute;left:4006;top:1075;height:206;width: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6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/>
                        <w:w w:val="205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062" o:spid="_x0000_s1062" o:spt="202" type="#_x0000_t202" style="position:absolute;left:5605;top:1075;height:206;width: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6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/>
                        <w:w w:val="205"/>
                        <w:sz w:val="20"/>
                      </w:rPr>
                      <w:t>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印度是南亚大国，人口仅次于中国，劳动力资源丰富。日本是个多山的国家，山地约占全国面积的76%；经济高度发达，对外依赖性强，人口老龄化严重。读图11完成第31～34题。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4728845" cy="1413510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259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367"/>
        <w:jc w:val="center"/>
        <w:textAlignment w:val="auto"/>
        <w:rPr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</w:t>
      </w:r>
      <w:r>
        <w:rPr>
          <w:snapToGrid w:val="0"/>
          <w:spacing w:val="0"/>
          <w:w w:val="100"/>
          <w:position w:val="0"/>
        </w:rPr>
        <w:t>11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31.两国发展农业生产相同的自然条件是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A.水热条件好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B.自然灾害少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C.平原广布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D.劳动力丰富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32.对比两国工业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A.印度软件外包市场面向发达国家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B.印度工业区大多分布在北部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C.日本的工业主要分布在内陆地区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D.日本工业产品主要销往国内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33.日本大量进口原料和燃料。从印度东部沿海满载货物驶向日本的货轮上，最有可能装载的是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A.木材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B.铁矿石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C.石油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D.大豆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34.由于新冠疫情蔓延，印度全国“封城”后，北部居民30年来首次看到了喜马拉雅山脉。为了能够经常目睹雄伟的喜马拉雅山脉，当地应该采取的措施有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A.毁林开荒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B.节能减排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C.节约用水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D.保护水源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读非洲气候类型图和景观图（图12），完成第35、36题。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sz w:val="20"/>
          <w:szCs w:val="2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3467735" cy="1657350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947" cy="16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图12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35.非洲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A.地势西北高东南低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B.海岸线漫长、曲折、破碎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C.热带气候类型为主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D.东部河流流量季节变化小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36.景观图中的高大树木，俗称“猴面包树”。树干虽然很粗壮，木质却非常疏松。这种像多孔的海绵一样的木质最利于储水。与其生长地区气候特征相对应的是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pict>
          <v:group id="_x0000_s1063" o:spid="_x0000_s1063" o:spt="203" style="height:87.95pt;width:384.65pt;" coordsize="7693,1759">
            <o:lock v:ext="edit"/>
            <v:shape id="_x0000_s1064" o:spid="_x0000_s1064" o:spt="75" type="#_x0000_t75" style="position:absolute;left:0;top:0;height:1582;width:7693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65" o:spid="_x0000_s1065" o:spt="202" type="#_x0000_t202" style="position:absolute;left:761;top:1553;height:206;width: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6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/>
                        <w:w w:val="205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066" o:spid="_x0000_s1066" o:spt="202" type="#_x0000_t202" style="position:absolute;left:2647;top:1553;height:206;width: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6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/>
                        <w:w w:val="205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067" o:spid="_x0000_s1067" o:spt="202" type="#_x0000_t202" style="position:absolute;left:4673;top:1553;height:206;width: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6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/>
                        <w:w w:val="205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068" o:spid="_x0000_s1068" o:spt="202" type="#_x0000_t202" style="position:absolute;left:6629;top:1553;height:206;width: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6" w:lineRule="exact"/>
                      <w:ind w:left="0" w:right="0" w:firstLine="0"/>
                      <w:jc w:val="left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/>
                        <w:w w:val="205"/>
                        <w:sz w:val="20"/>
                      </w:rPr>
                      <w:t>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0" w:firstLineChars="200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北极燕鸥是世界上已知迁徙距离最长的动物。每年当北半球是夏季的时候，燕鸥在北极圈内繁衍后代，当冬季来临时便开始长途迁徙，飞到南极洲越冬。这样周而复始，它的一生往返于两极之间。图13为北极燕鸥迁徙路线图，图14为北极地区图。读图完成第37～40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3840480" cy="2104390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6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89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30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220" w:leftChars="100" w:right="0" w:firstLine="0" w:firstLineChars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图13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图14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37.北极燕鸥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A.繁殖期时北极地区一年中气温最低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B.迁徙路线均需经过大西洋和印度洋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C.越冬期时南极地区会出现极夜现象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D.回到繁殖地时越过赤道大致向北飞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38.摄影记者拍摄北极燕鸥在越冬地活动场景时，可能还会拍到的景象有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A.工人在采矿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B.北极熊正在觅食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C.企鹅在游泳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D.因纽特人在捕鱼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39.北极地区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A.从上空看地球自转方向由a向b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B.黄河站在北极圈以南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C.降水多，是世界最大的淡水资源库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D.黄河站地处东半球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40.两极地区气候都很寒冷，但南极地区更加寒冷的原因是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①冰雪覆盖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②海拔更高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③纬度更高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④陆地为主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B.①②④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C.①③④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1"/>
          <w:szCs w:val="21"/>
        </w:rPr>
      </w:pPr>
    </w:p>
    <w:p>
      <w:pP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tabs>
          <w:tab w:val="left" w:pos="1100"/>
          <w:tab w:val="left" w:pos="2497"/>
          <w:tab w:val="left" w:pos="37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t>第二部分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tab/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t>综合题（共</w:t>
      </w:r>
      <w:r>
        <w:rPr>
          <w:rFonts w:ascii="Arial" w:hAnsi="Arial" w:eastAsia="Arial" w:cs="Arial"/>
          <w:b/>
          <w:bCs/>
          <w:snapToGrid w:val="0"/>
          <w:spacing w:val="0"/>
          <w:w w:val="100"/>
          <w:position w:val="0"/>
        </w:rPr>
        <w:t>50</w:t>
      </w:r>
      <w:r>
        <w:rPr>
          <w:rFonts w:ascii="宋体" w:hAnsi="宋体" w:eastAsia="宋体" w:cs="宋体"/>
          <w:b/>
          <w:bCs/>
          <w:snapToGrid w:val="0"/>
          <w:spacing w:val="0"/>
          <w:w w:val="100"/>
          <w:position w:val="0"/>
        </w:rPr>
        <w:t>分）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660"/>
          <w:tab w:val="left" w:pos="2420"/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41.（12分）</w:t>
      </w:r>
      <w:r>
        <w:rPr>
          <w:rFonts w:hint="eastAsia"/>
          <w:b/>
          <w:bCs/>
          <w:snapToGrid w:val="0"/>
          <w:spacing w:val="0"/>
          <w:w w:val="100"/>
          <w:position w:val="0"/>
          <w:lang w:eastAsia="zh-CN"/>
        </w:rPr>
        <w:t>活力京津冀</w:t>
      </w:r>
      <w:r>
        <w:rPr>
          <w:rFonts w:hint="eastAsia"/>
          <w:b/>
          <w:bCs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/>
          <w:b/>
          <w:bCs/>
          <w:snapToGrid w:val="0"/>
          <w:spacing w:val="0"/>
          <w:w w:val="100"/>
          <w:position w:val="0"/>
          <w:lang w:eastAsia="zh-CN"/>
        </w:rPr>
        <w:t>协同谱新篇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京津冀协同发展是实现首都可持续发展的必由之路，是一项重大国家战略。京津冀协同发展，坚持优势互补、互利共赢、区域一体，建设以首都为核心的世界级城市群。北京某中学的同学们开展了“探究京津冀共建朋友圈”活动。图15为京津冀地区示意图，图16为京津冀地区城市发展定位图。阅读资料回答下列问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hint="eastAsia" w:eastAsia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</w:t>
      </w:r>
      <w:r>
        <w:rPr>
          <w:snapToGrid w:val="0"/>
          <w:spacing w:val="0"/>
          <w:w w:val="100"/>
          <w:position w:val="0"/>
        </w:rPr>
        <w:t>15</w:t>
      </w:r>
      <w:r>
        <w:rPr>
          <w:rFonts w:hint="eastAsia"/>
          <w:snapToGrid w:val="0"/>
          <w:spacing w:val="0"/>
          <w:w w:val="100"/>
          <w:position w:val="0"/>
          <w:lang w:eastAsia="zh-CN"/>
        </w:rPr>
        <w:drawing>
          <wp:inline distT="0" distB="0" distL="114300" distR="114300">
            <wp:extent cx="1877695" cy="2132965"/>
            <wp:effectExtent l="0" t="0" r="825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表1</w:t>
      </w:r>
      <w:r>
        <w:rPr>
          <w:rFonts w:hint="eastAsia"/>
          <w:snapToGrid w:val="0"/>
          <w:spacing w:val="0"/>
          <w:w w:val="100"/>
          <w:position w:val="0"/>
          <w:lang w:val="en-US" w:eastAsia="zh-CN"/>
        </w:rPr>
        <w:t xml:space="preserve"> </w:t>
      </w:r>
      <w:r>
        <w:rPr>
          <w:rFonts w:hint="eastAsia"/>
          <w:snapToGrid w:val="0"/>
          <w:spacing w:val="0"/>
          <w:w w:val="100"/>
          <w:position w:val="0"/>
          <w:lang w:eastAsia="zh-CN"/>
        </w:rPr>
        <w:t>京津冀及全国2019年人口密度、人均国民生产总值及多年平均水资源量</w: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74"/>
        <w:gridCol w:w="1189"/>
        <w:gridCol w:w="1189"/>
        <w:gridCol w:w="1189"/>
        <w:gridCol w:w="119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jc w:val="center"/>
        </w:trPr>
        <w:tc>
          <w:tcPr>
            <w:tcW w:w="2774" w:type="dxa"/>
            <w:tcBorders>
              <w:top w:val="single" w:color="000000" w:sz="6" w:space="0"/>
              <w:left w:val="single" w:color="000000" w:sz="6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snapToGrid w:val="0"/>
                <w:spacing w:val="0"/>
                <w:w w:val="100"/>
                <w:position w:val="0"/>
                <w:sz w:val="32"/>
                <w:szCs w:val="32"/>
              </w:rPr>
            </w:pPr>
          </w:p>
        </w:tc>
        <w:tc>
          <w:tcPr>
            <w:tcW w:w="1189" w:type="dxa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京</w:t>
            </w:r>
          </w:p>
        </w:tc>
        <w:tc>
          <w:tcPr>
            <w:tcW w:w="1189" w:type="dxa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津</w:t>
            </w:r>
          </w:p>
        </w:tc>
        <w:tc>
          <w:tcPr>
            <w:tcW w:w="1189" w:type="dxa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冀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6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全国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jc w:val="center"/>
        </w:trPr>
        <w:tc>
          <w:tcPr>
            <w:tcW w:w="2774" w:type="dxa"/>
            <w:tcBorders>
              <w:top w:val="single" w:color="000000" w:sz="2" w:space="0"/>
              <w:left w:val="single" w:color="000000" w:sz="6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人口数量（万人）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2153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1562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7592</w:t>
            </w:r>
          </w:p>
        </w:tc>
        <w:tc>
          <w:tcPr>
            <w:tcW w:w="11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6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140005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jc w:val="center"/>
        </w:trPr>
        <w:tc>
          <w:tcPr>
            <w:tcW w:w="2774" w:type="dxa"/>
            <w:tcBorders>
              <w:top w:val="single" w:color="000000" w:sz="2" w:space="0"/>
              <w:left w:val="single" w:color="000000" w:sz="6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人口密度（人</w:t>
            </w:r>
            <w:r>
              <w:rPr>
                <w:rFonts w:hint="eastAsia" w:ascii="宋体" w:hAnsi="宋体" w:cs="宋体"/>
                <w:snapToGrid w:val="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/km²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）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1322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1306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355</w:t>
            </w:r>
          </w:p>
        </w:tc>
        <w:tc>
          <w:tcPr>
            <w:tcW w:w="11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6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142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jc w:val="center"/>
        </w:trPr>
        <w:tc>
          <w:tcPr>
            <w:tcW w:w="2774" w:type="dxa"/>
            <w:tcBorders>
              <w:top w:val="single" w:color="000000" w:sz="2" w:space="0"/>
              <w:left w:val="single" w:color="000000" w:sz="6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人均GD</w:t>
            </w:r>
            <w:r>
              <w:rPr>
                <w:rFonts w:hint="eastAsia" w:ascii="宋体" w:hAnsi="宋体" w:cs="宋体"/>
                <w:snapToGrid w:val="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P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（元</w:t>
            </w:r>
            <w:r>
              <w:rPr>
                <w:rFonts w:hint="eastAsia" w:ascii="宋体" w:hAnsi="宋体" w:cs="宋体"/>
                <w:snapToGrid w:val="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/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人）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164197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90294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46457</w:t>
            </w:r>
          </w:p>
        </w:tc>
        <w:tc>
          <w:tcPr>
            <w:tcW w:w="119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6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71010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jc w:val="center"/>
        </w:trPr>
        <w:tc>
          <w:tcPr>
            <w:tcW w:w="2774" w:type="dxa"/>
            <w:tcBorders>
              <w:top w:val="single" w:color="000000" w:sz="2" w:space="0"/>
              <w:left w:val="single" w:color="000000" w:sz="6" w:space="0"/>
              <w:bottom w:val="single" w:color="000000" w:sz="6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多年平均水资源量（亿</w:t>
            </w:r>
            <w:r>
              <w:rPr>
                <w:rFonts w:hint="eastAsia" w:ascii="宋体" w:hAnsi="宋体" w:cs="宋体"/>
                <w:snapToGrid w:val="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m³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  <w:t>）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/>
                <w:snapToGrid w:val="0"/>
                <w:spacing w:val="0"/>
                <w:w w:val="100"/>
                <w:position w:val="0"/>
                <w:sz w:val="20"/>
                <w:szCs w:val="32"/>
                <w:lang w:eastAsia="zh-CN"/>
              </w:rPr>
              <w:t>40.</w:t>
            </w: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8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/>
                <w:snapToGrid w:val="0"/>
                <w:spacing w:val="0"/>
                <w:w w:val="100"/>
                <w:position w:val="0"/>
                <w:sz w:val="20"/>
                <w:szCs w:val="32"/>
                <w:lang w:eastAsia="zh-CN"/>
              </w:rPr>
              <w:t>14.</w:t>
            </w: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6</w:t>
            </w:r>
          </w:p>
        </w:tc>
        <w:tc>
          <w:tcPr>
            <w:tcW w:w="1189" w:type="dxa"/>
            <w:tcBorders>
              <w:top w:val="single" w:color="000000" w:sz="2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2</w:t>
            </w:r>
            <w:r>
              <w:rPr>
                <w:rFonts w:hint="eastAsia" w:ascii="宋体"/>
                <w:snapToGrid w:val="0"/>
                <w:spacing w:val="0"/>
                <w:w w:val="100"/>
                <w:position w:val="0"/>
                <w:sz w:val="20"/>
                <w:szCs w:val="32"/>
                <w:lang w:eastAsia="zh-CN"/>
              </w:rPr>
              <w:t>36.</w:t>
            </w: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9</w:t>
            </w:r>
          </w:p>
        </w:tc>
        <w:tc>
          <w:tcPr>
            <w:tcW w:w="1191" w:type="dxa"/>
            <w:tcBorders>
              <w:top w:val="single" w:color="000000" w:sz="2" w:space="0"/>
              <w:left w:val="single" w:color="000000" w:sz="2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9</w:t>
            </w:r>
            <w:r>
              <w:rPr>
                <w:rFonts w:hint="eastAsia" w:ascii="宋体"/>
                <w:snapToGrid w:val="0"/>
                <w:spacing w:val="0"/>
                <w:w w:val="100"/>
                <w:position w:val="0"/>
                <w:sz w:val="20"/>
                <w:szCs w:val="32"/>
                <w:lang w:eastAsia="zh-CN"/>
              </w:rPr>
              <w:t>46.</w:t>
            </w:r>
            <w:r>
              <w:rPr>
                <w:rFonts w:ascii="宋体"/>
                <w:snapToGrid w:val="0"/>
                <w:spacing w:val="0"/>
                <w:w w:val="100"/>
                <w:position w:val="0"/>
                <w:sz w:val="20"/>
                <w:szCs w:val="32"/>
              </w:rPr>
              <w:t>9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420" w:leftChars="0" w:right="0" w:hanging="420" w:firstLineChars="0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第一小组：探究京津冀为什么要共建朋友圈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4"/>
        <w:jc w:val="both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(1）根据资料可推知，京津冀地区区域发展差距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，缺少具有国际竞争力的产业集群。京津冀“建立朋友圈”，可发挥北京的首都优势、天津的港口优势、河北的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优势，加强区际联系，缓解北京市和天津市由于人口密度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(大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/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小）、城市规模庞大而产生的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资源短缺、环境污染严重等问题。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"/>
          <w:szCs w:val="2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420" w:leftChars="0" w:right="0" w:hanging="420" w:firstLine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第二小组：探究京津冀为什么能够建朋友圈</w:t>
      </w:r>
    </w:p>
    <w:p>
      <w:pPr>
        <w:pStyle w:val="3"/>
        <w:keepNext w:val="0"/>
        <w:keepLines w:val="0"/>
        <w:pageBreakBefore w:val="0"/>
        <w:widowControl w:val="0"/>
        <w:tabs>
          <w:tab w:val="left" w:pos="696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(2）探究京津冀发展的自然条件，同学们可能利用到京津冀地区。(单项选择）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①位置图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 xml:space="preserve">                             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②地形水系图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③交通图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 xml:space="preserve">                             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④工业分布图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C.②④.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D.③④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6"/>
        <w:jc w:val="both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(3）京津冀自然地理条件优越，地缘相近，山水相连。京津冀地区是我国主要的高新技术和重工业基地，据图可知，发展工业的优势条件有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。(至少答出两方面）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420" w:leftChars="0" w:right="0" w:hanging="420" w:firstLineChars="0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第二小组：探究京津冀怎么建朋友圈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19"/>
        <w:jc w:val="center"/>
        <w:textAlignment w:val="auto"/>
        <w:rPr>
          <w:snapToGrid w:val="0"/>
          <w:spacing w:val="0"/>
          <w:w w:val="100"/>
          <w:position w:val="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19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探究活动期间，某同学在活动日志上记下了自己的收获：“我了解了京津冀之间的交通联系，有高速公路和高铁贯通、有黄特港和天津港，还有机场和无人机产业园，大方便了！还知道了京津冀地区生态环境的联合治理的措施，建了大阳能发电站和京津冀防护林、湿地公园等，环境越来越美了！”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524"/>
        <w:jc w:val="left"/>
        <w:textAlignment w:val="auto"/>
        <w:rPr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(4）请结合日志，联系地理学习，概括京津冀协同发展的有效措施。(至少答出两方面）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524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524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“京津冀协同发展”战略首要任务是有序疏解北京非首都功能，优化提升首都功能，解决北京大城市病问题。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29"/>
          <w:tab w:val="left" w:pos="31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6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(5）京津冀协同发展中，北京将建成知识型区域，这体现北京的城市职能有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。(双项选择）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</w:pPr>
      <w:r>
        <w:rPr>
          <w:snapToGrid w:val="0"/>
          <w:spacing w:val="0"/>
          <w:w w:val="100"/>
          <w:position w:val="0"/>
        </w:rPr>
        <w:drawing>
          <wp:anchor distT="0" distB="0" distL="114300" distR="114300" simplePos="0" relativeHeight="503297024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93345</wp:posOffset>
            </wp:positionV>
            <wp:extent cx="1808480" cy="1669415"/>
            <wp:effectExtent l="0" t="0" r="1270" b="698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A.政治中心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B.文化中心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C.科技创新中心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D.国际交往中心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6"/>
        <w:jc w:val="both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(6）为把北京建设成国际一流的和谐宜居之都，北京市在2020年5月1日起施行垃圾分类。同学们对北京市实施垃圾分类进行了讨论，你认为正确的是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。(单项选择）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"/>
          <w:szCs w:val="2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①剩饭菜及一次性餐具放入可回收物垃圾箱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②废易拉罐、废铜线的原料属非可再生资源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③实施垃圾分类能解决北京资源短缺的问题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④实施垃圾分类可提高资源利用率减少污染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D.②④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 w:ascii="黑体" w:hAnsi="黑体" w:eastAsia="黑体" w:cs="黑体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42.(12分）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eastAsia="zh-CN"/>
        </w:rPr>
        <w:t>决胜小康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eastAsia="zh-CN"/>
        </w:rPr>
        <w:t>困地崛起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  <w:t>2020年全面建成小康社会的关键是针对不同贫困区域环境、不同贫困农户状况开展的“精准扶贫”。图17为中国贫困地区分布图，图18为新疆简图。</w:t>
      </w:r>
      <w:r>
        <w:rPr>
          <w:rFonts w:hint="eastAsia"/>
          <w:snapToGrid w:val="0"/>
          <w:spacing w:val="0"/>
          <w:w w:val="100"/>
          <w:position w:val="0"/>
          <w:lang w:eastAsia="zh-CN"/>
        </w:rPr>
        <w:t>读图完成下列问题。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4763135" cy="1800225"/>
            <wp:effectExtent l="0" t="0" r="0" b="0"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2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55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right="0" w:firstLine="1200" w:firstLineChars="600"/>
        <w:jc w:val="left"/>
        <w:textAlignment w:val="auto"/>
        <w:rPr>
          <w:rFonts w:hint="eastAsia" w:eastAsia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</w:t>
      </w:r>
      <w:r>
        <w:rPr>
          <w:snapToGrid w:val="0"/>
          <w:spacing w:val="0"/>
          <w:w w:val="100"/>
          <w:position w:val="0"/>
        </w:rPr>
        <w:t>17</w:t>
      </w:r>
      <w:r>
        <w:rPr>
          <w:rFonts w:hint="eastAsia"/>
          <w:snapToGrid w:val="0"/>
          <w:spacing w:val="0"/>
          <w:w w:val="100"/>
          <w:position w:val="0"/>
          <w:lang w:val="en-US" w:eastAsia="zh-CN"/>
        </w:rPr>
        <w:t xml:space="preserve">                                  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</w:t>
      </w:r>
      <w:r>
        <w:rPr>
          <w:snapToGrid w:val="0"/>
          <w:spacing w:val="0"/>
          <w:w w:val="100"/>
          <w:position w:val="0"/>
        </w:rPr>
        <w:t>18</w:t>
      </w:r>
    </w:p>
    <w:p>
      <w:pPr>
        <w:pStyle w:val="3"/>
        <w:keepNext w:val="0"/>
        <w:keepLines w:val="0"/>
        <w:pageBreakBefore w:val="0"/>
        <w:widowControl w:val="0"/>
        <w:tabs>
          <w:tab w:val="left" w:pos="55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</w:t>
      </w:r>
      <w:r>
        <w:rPr>
          <w:snapToGrid w:val="0"/>
          <w:spacing w:val="0"/>
          <w:w w:val="100"/>
          <w:position w:val="0"/>
        </w:rPr>
        <w:t>1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）我国贫困地区分布特点，从地形类型看，多分布在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；从地势看，第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级阶梯分布最少；从海陆位置看，沿海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(多</w:t>
      </w:r>
      <w:r>
        <w:rPr>
          <w:rFonts w:hint="eastAsia"/>
          <w:snapToGrid w:val="0"/>
          <w:spacing w:val="0"/>
          <w:w w:val="100"/>
          <w:position w:val="0"/>
          <w:lang w:val="en-US" w:eastAsia="zh-CN"/>
        </w:rPr>
        <w:t>/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少）于内陆。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"/>
          <w:szCs w:val="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7"/>
        <w:jc w:val="both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</w:t>
      </w:r>
      <w:r>
        <w:rPr>
          <w:snapToGrid w:val="0"/>
          <w:spacing w:val="0"/>
          <w:w w:val="100"/>
          <w:position w:val="0"/>
        </w:rPr>
        <w:t>2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）新疆南疆三地州地区自然条件恶劣，贫困发生率达</w:t>
      </w:r>
      <w:r>
        <w:rPr>
          <w:snapToGrid w:val="0"/>
          <w:spacing w:val="0"/>
          <w:w w:val="100"/>
          <w:position w:val="0"/>
        </w:rPr>
        <w:t>55%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以上，是我国位于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地区(四大地理区域）的全国扶贫攻坚的主战场之一。为此自治区政府设专项资金“精准扶贫”，在南疆三地州地区成立两大公司：手工地毯加工有限公司(加工手工羊毛地毯）、食品开发有限公司(加工果汁饮料）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6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请结合资料分析其贫困的自然原因及脱贫措施，完成下面框架图。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6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4489450" cy="1702435"/>
            <wp:effectExtent l="0" t="0" r="0" b="0"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04" cy="170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43.(14分）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eastAsia="zh-CN"/>
        </w:rPr>
        <w:t>同饮一江水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val="en-US" w:eastAsia="zh-CN"/>
        </w:rPr>
        <w:t xml:space="preserve"> 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eastAsia="zh-CN"/>
        </w:rPr>
        <w:t>命运紧相连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  <w:t>“澜湄合作”是指中国、来埔寨、老挝、缅句、泰国、越南6国围绕澜沧江—湄公河流域实施可持续开发和开展互惠务实合作。某校学生针对这一合作项目，展开了澜湄沿线的研究性学习。图19为三江并流区域图，图20为中南半岛地图、曼谷气温曲线和降水量柱状图。</w:t>
      </w:r>
      <w:r>
        <w:rPr>
          <w:rFonts w:hint="eastAsia"/>
          <w:snapToGrid w:val="0"/>
          <w:spacing w:val="0"/>
          <w:w w:val="100"/>
          <w:position w:val="0"/>
          <w:lang w:eastAsia="zh-CN"/>
        </w:rPr>
        <w:t>根据图文资料，回答下列问题。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4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2839720" cy="2091055"/>
            <wp:effectExtent l="0" t="0" r="0" b="0"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865" cy="20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leftChars="0" w:right="0" w:firstLine="2000" w:firstLineChars="100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图19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48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420" w:leftChars="0" w:right="0" w:hanging="420" w:firstLineChars="0"/>
        <w:jc w:val="left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三江并流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val="en-US" w:eastAsia="zh-CN"/>
        </w:rPr>
        <w:t xml:space="preserve"> 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多姿多彩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7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(1）澜沧江与同发源于青藏高原的怒江、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江一起，在云南省西北部穿越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山脉自北向南并行奔流，形成了“三江并流”景观。该地区山地与河流分布特点是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523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“三江并流”景区内有造型迥异的高山雪峰、静谧的原始森林、广阔的雪山花句和星罗棋布的湖泊。该地区拥有全国20%以上的高等植物和25%的动物种数，被誉为“世界生物基因库”。该地区是16个少数民族的聚居地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898"/>
          <w:tab w:val="left" w:pos="449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6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(2）“三江并流”地区的独特性表现在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。(双项选择）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898"/>
          <w:tab w:val="left" w:pos="449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6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丰富的珍稀动植物资源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 xml:space="preserve">                     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B.多彩的西南大漠风情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898"/>
          <w:tab w:val="left" w:pos="449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6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C.奇特的雪山、海岸景观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 xml:space="preserve">                     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D.多样的少数民族风俗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6"/>
        <w:jc w:val="both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snapToGrid w:val="0"/>
          <w:spacing w:val="0"/>
          <w:w w:val="100"/>
          <w:position w:val="0"/>
        </w:rPr>
        <w:pict>
          <v:group id="_x0000_s1112" o:spid="_x0000_s1112" o:spt="203" style="position:absolute;left:0pt;margin-left:215.35pt;margin-top:50.6pt;height:0.1pt;width:40.95pt;mso-position-horizontal-relative:page;z-index:-20480;mso-width-relative:page;mso-height-relative:page;" coordorigin="4307,1012" coordsize="819,2">
            <o:lock v:ext="edit"/>
            <v:shape id="_x0000_s1113" o:spid="_x0000_s1113" style="position:absolute;left:4307;top:1012;height:2;width:819;" filled="f" stroked="t" coordorigin="4307,1012" coordsize="819,0" path="m4307,1012l5126,1012e">
              <v:path arrowok="t"/>
              <v:fill on="f" focussize="0,0"/>
              <v:stroke weight="0.327007874015748pt" color="#000000"/>
              <v:imagedata o:title=""/>
              <o:lock v:ext="edit"/>
            </v:shape>
          </v:group>
        </w:pic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(3）“茶马古道”是历史上汉藏民族之间茶马互换的贸易通道。茶马古道云南段主要从河谷地区经过，是人口、村庄比较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(稀少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/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集中）的地区，其原因与河谷地区的坡度相对比较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(陡峻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/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平缓）有关。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5" w:leftChars="0" w:right="0" w:rightChars="0" w:firstLine="0" w:firstLineChars="0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澜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  <w:t>湄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六国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val="en-US" w:eastAsia="zh-CN"/>
        </w:rPr>
        <w:t xml:space="preserve"> 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山水相依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4276090" cy="1998980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2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170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594" w:leftChars="270" w:right="0" w:firstLine="2384" w:firstLineChars="1192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图20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hanging="457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(4）某学生在对澜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湄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沿线中南半岛的研究性学习过程中，撰写了一篇学习日记，其中有多处错误，请帮他挑出来。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07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澜沧江奔流南下，进入中南半岛，称为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val="en-US" w:eastAsia="zh-CN"/>
        </w:rPr>
        <w:t>湄公河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。受地势影响，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val="en-US" w:eastAsia="zh-CN"/>
        </w:rPr>
        <w:t>湄公河</w:t>
      </w: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自南向北流入海洋。沿途所流经的国家中，来埔寨是唯一的内陆国。中南半岛大部分地处北回归线以南，当地居民皮肤较黑，以黑色人种为主。中南半岛上可见到很多天然橡胶林，橡胶工业发展历史较早。这里有好玩儿的水上集市，集市上随处可见诱人的苹果、香蕉和芒果等热带水果，在夜晚来临还可以欣赏到美丽的极光。中南半岛上独特的热带风光，吸引着众多游客前来避暑度假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6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示例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ab/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错误: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湄公河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自南向北流入海洋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026"/>
          <w:tab w:val="left" w:pos="50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default" w:ascii="宋体" w:hAnsi="宋体" w:eastAsia="宋体" w:cs="宋体"/>
          <w:snapToGrid w:val="0"/>
          <w:spacing w:val="0"/>
          <w:w w:val="100"/>
          <w:position w:val="0"/>
          <w:lang w:val="en-US"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错误1: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错误2: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错误3: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_________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19"/>
        <w:jc w:val="both"/>
        <w:textAlignment w:val="auto"/>
        <w:rPr>
          <w:rFonts w:hint="eastAsia" w:ascii="宋体" w:eastAsia="宋体"/>
          <w:snapToGrid w:val="0"/>
          <w:spacing w:val="0"/>
          <w:w w:val="100"/>
          <w:position w:val="0"/>
          <w:sz w:val="2"/>
          <w:lang w:eastAsia="zh-CN"/>
        </w:rPr>
      </w:pPr>
      <w:r>
        <w:rPr>
          <w:rFonts w:ascii="宋体"/>
          <w:snapToGrid w:val="0"/>
          <w:spacing w:val="0"/>
          <w:w w:val="100"/>
          <w:position w:val="0"/>
          <w:sz w:val="2"/>
        </w:rPr>
        <w:tab/>
      </w:r>
      <w:r>
        <w:rPr>
          <w:rFonts w:ascii="宋体"/>
          <w:snapToGrid w:val="0"/>
          <w:spacing w:val="0"/>
          <w:w w:val="100"/>
          <w:position w:val="0"/>
          <w:sz w:val="2"/>
        </w:rPr>
        <w:tab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19"/>
        <w:jc w:val="both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419"/>
        <w:jc w:val="both"/>
        <w:textAlignment w:val="auto"/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橡胶树喜高温、高</w:t>
      </w:r>
      <w:bookmarkStart w:id="0" w:name="_GoBack"/>
      <w:bookmarkEnd w:id="0"/>
      <w:r>
        <w:rPr>
          <w:rFonts w:hint="eastAsia" w:ascii="楷体" w:hAnsi="楷体" w:eastAsia="楷体" w:cs="楷体"/>
          <w:snapToGrid w:val="0"/>
          <w:spacing w:val="0"/>
          <w:w w:val="100"/>
          <w:position w:val="0"/>
        </w:rPr>
        <w:t>湿和肥沃土壤，在20～30℃范围内都能正常生长和产胶，年平均降水量要求在1150～2500毫米，适于在深厚、肥沃且湿润、排水良好的土壤中生长。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(5）泰国是世界著名的橡胶生产国，结合资料，说明泰国种植橡胶树的有利自然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66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条件。(至少答出两方面）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66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66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“澜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湄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合作”属于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(南北对话／南南合作）。请从地理视角，谈谈“澜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湄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合作”对合作国家的影响。(答出一方面即可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)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66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right="0" w:rightChars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 xml:space="preserve">      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44.(12分）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eastAsia="zh-CN"/>
        </w:rPr>
        <w:t>两河流域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val="en-US" w:eastAsia="zh-CN"/>
        </w:rPr>
        <w:t xml:space="preserve"> </w:t>
      </w:r>
      <w:r>
        <w:rPr>
          <w:rFonts w:hint="eastAsia" w:ascii="黑体" w:hAnsi="黑体" w:eastAsia="黑体" w:cs="黑体"/>
          <w:snapToGrid w:val="0"/>
          <w:spacing w:val="0"/>
          <w:w w:val="100"/>
          <w:position w:val="0"/>
          <w:lang w:eastAsia="zh-CN"/>
        </w:rPr>
        <w:t>文明摇篮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312"/>
          <w:tab w:val="left" w:pos="682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/>
          <w:snapToGrid w:val="0"/>
          <w:spacing w:val="0"/>
          <w:w w:val="100"/>
          <w:position w:val="0"/>
          <w:lang w:eastAsia="zh-CN"/>
        </w:rPr>
      </w:pPr>
      <w:r>
        <w:rPr>
          <w:rFonts w:hint="eastAsia" w:ascii="楷体" w:hAnsi="楷体" w:eastAsia="楷体" w:cs="楷体"/>
          <w:snapToGrid w:val="0"/>
          <w:spacing w:val="0"/>
          <w:w w:val="100"/>
          <w:position w:val="0"/>
          <w:lang w:eastAsia="zh-CN"/>
        </w:rPr>
        <w:t>西亚地区的两河流域孕育了古巴比伦文明，民间故事集《一千零一夜》生动的记录了西亚当时的社会风貌和人文风情。图21为西亚略图和西亚气候类型分布图。</w:t>
      </w:r>
      <w:r>
        <w:rPr>
          <w:rFonts w:hint="eastAsia"/>
          <w:snapToGrid w:val="0"/>
          <w:spacing w:val="0"/>
          <w:w w:val="100"/>
          <w:position w:val="0"/>
          <w:lang w:eastAsia="zh-CN"/>
        </w:rPr>
        <w:t>读图完成下列问题。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jc w:val="center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  <w:sz w:val="20"/>
          <w:szCs w:val="20"/>
        </w:rPr>
        <w:drawing>
          <wp:inline distT="0" distB="0" distL="0" distR="0">
            <wp:extent cx="4832985" cy="2100580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3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325" cy="210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right="0" w:firstLine="0" w:firstLineChars="0"/>
        <w:jc w:val="center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图21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（1）借助图像资料，完成地理信息采集表。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994"/>
        <w:gridCol w:w="954"/>
        <w:gridCol w:w="187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360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u w:val="none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西亚河流</w:t>
            </w:r>
          </w:p>
        </w:tc>
        <w:tc>
          <w:tcPr>
            <w:tcW w:w="199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u w:val="none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河流类型</w:t>
            </w:r>
          </w:p>
        </w:tc>
        <w:tc>
          <w:tcPr>
            <w:tcW w:w="95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u w:val="none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流向</w:t>
            </w:r>
          </w:p>
        </w:tc>
        <w:tc>
          <w:tcPr>
            <w:tcW w:w="1871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u w:val="none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径流量</w:t>
            </w:r>
          </w:p>
        </w:tc>
        <w:tc>
          <w:tcPr>
            <w:tcW w:w="201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u w:val="none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流速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0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幼发拉底河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u w:val="none"/>
              </w:rPr>
            </w:pP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底格里斯河</w:t>
            </w:r>
          </w:p>
        </w:tc>
        <w:tc>
          <w:tcPr>
            <w:tcW w:w="199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right="0" w:rightChars="0"/>
              <w:jc w:val="center"/>
              <w:textAlignment w:val="auto"/>
              <w:rPr>
                <w:rFonts w:eastAsia="宋体" w:asciiTheme="minorAscii" w:hAnsiTheme="minorAscii" w:cstheme="minorBidi"/>
                <w:sz w:val="22"/>
                <w:szCs w:val="22"/>
                <w:u w:val="none"/>
                <w:lang w:val="en-US" w:eastAsia="en-US" w:bidi="ar-SA"/>
              </w:rPr>
            </w:pPr>
            <w:r>
              <w:rPr>
                <w:rFonts w:ascii="Calibri" w:hAnsi="Calibri" w:eastAsia="Calibri" w:cs="Calibri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①</w:t>
            </w:r>
            <w:r>
              <w:rPr>
                <w:rFonts w:hint="eastAsia" w:ascii="Calibri" w:hAnsi="Calibri" w:cs="Calibri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  <w:lang w:val="en-US" w:eastAsia="zh-CN"/>
              </w:rPr>
              <w:t>____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（内</w:t>
            </w:r>
            <w:r>
              <w:rPr>
                <w:rFonts w:hint="eastAsia" w:ascii="宋体" w:hAnsi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  <w:lang w:val="en-US" w:eastAsia="zh-CN"/>
              </w:rPr>
              <w:t>/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外流河）</w:t>
            </w:r>
          </w:p>
        </w:tc>
        <w:tc>
          <w:tcPr>
            <w:tcW w:w="95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leftChars="0" w:right="0" w:rightChars="0"/>
              <w:jc w:val="center"/>
              <w:textAlignment w:val="auto"/>
              <w:rPr>
                <w:rFonts w:hint="default" w:eastAsia="宋体" w:asciiTheme="minorAscii" w:hAnsiTheme="minorAscii" w:cstheme="minorBidi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ascii="Calibri" w:hAnsi="Calibri" w:eastAsia="Calibri" w:cs="Calibri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②</w:t>
            </w:r>
            <w:r>
              <w:rPr>
                <w:rFonts w:hint="eastAsia" w:ascii="Calibri" w:hAnsi="Calibri" w:cs="Calibri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  <w:lang w:val="en-US" w:eastAsia="zh-CN"/>
              </w:rPr>
              <w:t>____</w:t>
            </w:r>
          </w:p>
        </w:tc>
        <w:tc>
          <w:tcPr>
            <w:tcW w:w="1871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u w:val="none"/>
              </w:rPr>
            </w:pPr>
            <w:r>
              <w:rPr>
                <w:rFonts w:ascii="Calibri" w:hAnsi="Calibri" w:eastAsia="Calibri" w:cs="Calibri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③</w:t>
            </w:r>
            <w:r>
              <w:rPr>
                <w:rFonts w:hint="eastAsia" w:ascii="Calibri" w:hAnsi="Calibri" w:cs="Calibri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  <w:lang w:val="en-US" w:eastAsia="zh-CN"/>
              </w:rPr>
              <w:t>______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（大</w:t>
            </w:r>
            <w:r>
              <w:rPr>
                <w:rFonts w:hint="eastAsia" w:ascii="宋体" w:hAnsi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  <w:lang w:val="en-US" w:eastAsia="zh-CN"/>
              </w:rPr>
              <w:t>/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小）</w:t>
            </w:r>
          </w:p>
        </w:tc>
        <w:tc>
          <w:tcPr>
            <w:tcW w:w="201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ind w:left="0" w:right="0"/>
              <w:jc w:val="center"/>
              <w:textAlignment w:val="auto"/>
              <w:rPr>
                <w:u w:val="none"/>
              </w:rPr>
            </w:pPr>
            <w:r>
              <w:rPr>
                <w:rFonts w:ascii="Calibri" w:hAnsi="Calibri" w:eastAsia="Calibri" w:cs="Calibri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④</w:t>
            </w:r>
            <w:r>
              <w:rPr>
                <w:rFonts w:hint="eastAsia" w:ascii="Calibri" w:hAnsi="Calibri" w:cs="Calibri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  <w:lang w:val="en-US" w:eastAsia="zh-CN"/>
              </w:rPr>
              <w:t>____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（快</w:t>
            </w:r>
            <w:r>
              <w:rPr>
                <w:rFonts w:hint="eastAsia" w:ascii="宋体" w:hAnsi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  <w:lang w:val="en-US" w:eastAsia="zh-CN"/>
              </w:rPr>
              <w:t>/</w:t>
            </w:r>
            <w:r>
              <w:rPr>
                <w:rFonts w:ascii="宋体" w:hAnsi="宋体" w:eastAsia="宋体" w:cs="宋体"/>
                <w:snapToGrid w:val="0"/>
                <w:spacing w:val="0"/>
                <w:w w:val="100"/>
                <w:position w:val="0"/>
                <w:sz w:val="17"/>
                <w:szCs w:val="17"/>
                <w:u w:val="none"/>
              </w:rPr>
              <w:t>慢）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hint="eastAsia"/>
          <w:snapToGrid w:val="0"/>
          <w:spacing w:val="0"/>
          <w:w w:val="100"/>
          <w:position w:val="0"/>
          <w:lang w:eastAsia="zh-CN"/>
        </w:rPr>
        <w:t>（</w:t>
      </w:r>
      <w:r>
        <w:rPr>
          <w:snapToGrid w:val="0"/>
          <w:spacing w:val="0"/>
          <w:w w:val="100"/>
          <w:position w:val="0"/>
        </w:rPr>
        <w:t>2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）西亚地区自然资源概括为“一多一少”。“一多”是指该地区有世界储量、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329"/>
          <w:tab w:val="left" w:pos="59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产量、输出量最多的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资源，集中分布在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。“一少”是指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资源匮乏，请从气候角度分析其原因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。（单项选择）</w:t>
      </w:r>
    </w:p>
    <w:p>
      <w:pPr>
        <w:keepNext w:val="0"/>
        <w:keepLines w:val="0"/>
        <w:pageBreakBefore w:val="0"/>
        <w:widowControl w:val="0"/>
        <w:tabs>
          <w:tab w:val="left" w:pos="4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"/>
          <w:szCs w:val="2"/>
        </w:rPr>
      </w:pPr>
      <w:r>
        <w:rPr>
          <w:rFonts w:ascii="宋体"/>
          <w:snapToGrid w:val="0"/>
          <w:spacing w:val="0"/>
          <w:w w:val="100"/>
          <w:position w:val="0"/>
          <w:sz w:val="2"/>
        </w:rPr>
        <w:tab/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①热带草原气候分布广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②全年降水少，蒸发量大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③热带沙漠气候面积大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④气温年较差大，年均温低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B.①④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C.②③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D.③④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pict>
          <v:shape id="_x0000_s1148" o:spid="_x0000_s1148" o:spt="75" type="#_x0000_t75" style="position:absolute;left:0pt;margin-left:387.35pt;margin-top:24.75pt;height:98.15pt;width:138.25pt;mso-position-horizontal-relative:page;z-index:3072;mso-width-relative:page;mso-height-relative:page;" filled="f" stroked="f" coordsize="21600,21600">
            <v:path/>
            <v:fill on="f" focussize="0,0"/>
            <v:stroke on="f"/>
            <v:imagedata r:id="rId27" o:title=""/>
            <o:lock v:ext="edit" aspectratio="t"/>
          </v:shape>
        </w:pic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（</w:t>
      </w:r>
      <w:r>
        <w:rPr>
          <w:snapToGrid w:val="0"/>
          <w:spacing w:val="0"/>
          <w:w w:val="100"/>
          <w:position w:val="0"/>
        </w:rPr>
        <w:t>3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）根据图文资料，从“美索不达美亚平原”“伊朗高原”两地中，任选其一，说出适宜发展的农业部门并简述原因。（至少答出两方面原因）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5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hint="eastAsia" w:ascii="宋体" w:hAnsi="宋体" w:eastAsia="宋体" w:cs="宋体"/>
          <w:snapToGrid w:val="0"/>
          <w:spacing w:val="0"/>
          <w:w w:val="100"/>
          <w:position w:val="0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5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left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</w:rPr>
      </w:pP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（</w:t>
      </w:r>
      <w:r>
        <w:rPr>
          <w:snapToGrid w:val="0"/>
          <w:spacing w:val="0"/>
          <w:w w:val="100"/>
          <w:position w:val="0"/>
        </w:rPr>
        <w:t>4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）从《阿拉丁和神灯》的插画，可知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>______</w:t>
      </w:r>
      <w:r>
        <w:rPr>
          <w:rFonts w:ascii="宋体" w:hAnsi="宋体" w:eastAsia="宋体" w:cs="宋体"/>
          <w:snapToGrid w:val="0"/>
          <w:spacing w:val="0"/>
          <w:w w:val="100"/>
          <w:position w:val="0"/>
        </w:rPr>
        <w:t>。（单项选择）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 w:firstLine="0"/>
        <w:textAlignment w:val="auto"/>
        <w:rPr>
          <w:rFonts w:ascii="宋体" w:hAnsi="宋体" w:eastAsia="宋体" w:cs="宋体"/>
          <w:snapToGrid w:val="0"/>
          <w:spacing w:val="0"/>
          <w:w w:val="100"/>
          <w:position w:val="0"/>
          <w:sz w:val="2"/>
          <w:szCs w:val="2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①图中的阿拉丁神毯与西亚的种植业有关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②图中宗教建筑反映居民多信奉伊斯兰教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③西亚民居多平顶小窗，与地形因素有关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④西亚多为白色人种，居民多讲阿拉伯语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2412"/>
          <w:tab w:val="left" w:pos="4299"/>
          <w:tab w:val="left" w:pos="618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 w:firstLine="264"/>
        <w:jc w:val="left"/>
        <w:textAlignment w:val="auto"/>
        <w:rPr>
          <w:rFonts w:hint="eastAsia" w:cs="宋体"/>
          <w:snapToGrid w:val="0"/>
          <w:spacing w:val="0"/>
          <w:w w:val="100"/>
          <w:position w:val="0"/>
          <w:lang w:eastAsia="zh-CN"/>
        </w:rPr>
      </w:pP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A.①②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B.②③</w:t>
      </w:r>
      <w:r>
        <w:rPr>
          <w:rFonts w:hint="eastAsia" w:cs="宋体"/>
          <w:snapToGrid w:val="0"/>
          <w:spacing w:val="0"/>
          <w:w w:val="100"/>
          <w:position w:val="0"/>
          <w:lang w:val="en-US"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C.①④</w:t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ab/>
      </w:r>
      <w:r>
        <w:rPr>
          <w:rFonts w:hint="eastAsia" w:cs="宋体"/>
          <w:snapToGrid w:val="0"/>
          <w:spacing w:val="0"/>
          <w:w w:val="100"/>
          <w:position w:val="0"/>
          <w:lang w:eastAsia="zh-CN"/>
        </w:rPr>
        <w:t>D.②④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10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00" w:lineRule="auto"/>
        <w:ind w:left="0" w:right="0"/>
        <w:jc w:val="center"/>
        <w:textAlignment w:val="auto"/>
        <w:rPr>
          <w:rFonts w:hint="eastAsia" w:ascii="Calibri" w:hAnsi="Calibri" w:eastAsia="宋体" w:cs="Calibri"/>
          <w:snapToGrid w:val="0"/>
          <w:spacing w:val="0"/>
          <w:w w:val="100"/>
          <w:position w:val="0"/>
          <w:lang w:eastAsia="zh-CN"/>
        </w:rPr>
      </w:pPr>
    </w:p>
    <w:sectPr>
      <w:pgSz w:w="11905" w:h="16838"/>
      <w:pgMar w:top="1134" w:right="1134" w:bottom="1134" w:left="1134" w:header="720" w:footer="720" w:gutter="0"/>
      <w:cols w:space="425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92C3A3"/>
    <w:multiLevelType w:val="singleLevel"/>
    <w:tmpl w:val="A592C3A3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4D3F77B"/>
    <w:multiLevelType w:val="singleLevel"/>
    <w:tmpl w:val="F4D3F77B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66061CC"/>
    <w:multiLevelType w:val="singleLevel"/>
    <w:tmpl w:val="566061CC"/>
    <w:lvl w:ilvl="0" w:tentative="0">
      <w:start w:val="6"/>
      <w:numFmt w:val="decimal"/>
      <w:suff w:val="nothing"/>
      <w:lvlText w:val="(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08434605"/>
    <w:rsid w:val="09377315"/>
    <w:rsid w:val="0C217A28"/>
    <w:rsid w:val="0C3A0981"/>
    <w:rsid w:val="12AE30B7"/>
    <w:rsid w:val="1BFA5D41"/>
    <w:rsid w:val="21AC47C7"/>
    <w:rsid w:val="2CC52421"/>
    <w:rsid w:val="30FD0718"/>
    <w:rsid w:val="3D560B63"/>
    <w:rsid w:val="5D590C7F"/>
    <w:rsid w:val="66D16ECF"/>
    <w:rsid w:val="6BC555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eastAsia="宋体" w:asciiTheme="minorAscii" w:hAnsiTheme="minorAsci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62"/>
      <w:ind w:left="2180"/>
      <w:outlineLvl w:val="1"/>
    </w:pPr>
    <w:rPr>
      <w:rFonts w:ascii="宋体" w:hAnsi="宋体" w:eastAsia="宋体"/>
      <w:sz w:val="27"/>
      <w:szCs w:val="27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72"/>
      <w:ind w:left="486"/>
    </w:pPr>
    <w:rPr>
      <w:rFonts w:ascii="宋体" w:hAnsi="宋体" w:eastAsia="宋体"/>
      <w:sz w:val="20"/>
      <w:szCs w:val="20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4"/>
    <customShpInfo spid="_x0000_s1150"/>
    <customShpInfo spid="_x0000_s1152"/>
    <customShpInfo spid="_x0000_s1151"/>
    <customShpInfo spid="_x0000_s1154"/>
    <customShpInfo spid="_x0000_s1153"/>
    <customShpInfo spid="_x0000_s1156"/>
    <customShpInfo spid="_x0000_s1155"/>
    <customShpInfo spid="_x0000_s1158"/>
    <customShpInfo spid="_x0000_s1157"/>
    <customShpInfo spid="_x0000_s1149"/>
    <customShpInfo spid="_x0000_s1055"/>
    <customShpInfo spid="_x0000_s1058"/>
    <customShpInfo spid="_x0000_s1059"/>
    <customShpInfo spid="_x0000_s1060"/>
    <customShpInfo spid="_x0000_s1061"/>
    <customShpInfo spid="_x0000_s1062"/>
    <customShpInfo spid="_x0000_s1057"/>
    <customShpInfo spid="_x0000_s1064"/>
    <customShpInfo spid="_x0000_s1065"/>
    <customShpInfo spid="_x0000_s1066"/>
    <customShpInfo spid="_x0000_s1067"/>
    <customShpInfo spid="_x0000_s1068"/>
    <customShpInfo spid="_x0000_s1063"/>
    <customShpInfo spid="_x0000_s1113"/>
    <customShpInfo spid="_x0000_s1112"/>
    <customShpInfo spid="_x0000_s11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ScaleCrop>false</ScaleCrop>
  <LinksUpToDate>false</LinksUpToDate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2020-06-21T09:50:00Z</dcterms:created>
  <dc:creator>86137</dc:creator>
  <cp:lastModifiedBy>86137</cp:lastModifiedBy>
  <dcterms:modified xsi:type="dcterms:W3CDTF">2020-06-21T13:20:50Z</dcterms:modified>
  <dc:title>丰台初三地理二模定稿（裁切A4印刷）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2020-06-21T00:00:00Z</vt:filetime>
  </property>
  <property fmtid="{D5CDD505-2E9C-101B-9397-08002B2CF9AE}" pid="3" name="LastSaved">
    <vt:filetime>2020-06-21T00:00:00Z</vt:filetime>
  </property>
  <property fmtid="{D5CDD505-2E9C-101B-9397-08002B2CF9AE}" pid="4" name="KSOProductBuildVer">
    <vt:lpwstr>2052-11.1.0.9740</vt:lpwstr>
  </property>
</Properties>
</file>